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С</w:t>
      </w: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ОВЕТ МУНИЦИПА</w:t>
      </w:r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ЛЬНОГО ОБРАЗОВАНИЯ "СЕМИБУГОРИНСКИЙ</w:t>
      </w: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 СЕЛЬСОВЕТ"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РЕШЕНИЕ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от 06 сентября </w:t>
      </w:r>
      <w:smartTag w:uri="urn:schemas-microsoft-com:office:smarttags" w:element="metricconverter">
        <w:smartTagPr>
          <w:attr w:name="ProductID" w:val="2012 г"/>
        </w:smartTagPr>
        <w:r w:rsidRPr="00514501">
          <w:rPr>
            <w:rFonts w:ascii="Times New Roman" w:hAnsi="Times New Roman"/>
            <w:b/>
            <w:bCs/>
            <w:color w:val="474145"/>
            <w:sz w:val="28"/>
            <w:szCs w:val="28"/>
            <w:lang w:eastAsia="ru-RU"/>
          </w:rPr>
          <w:t>2012 г</w:t>
        </w:r>
      </w:smartTag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. N 7/1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ОБ УТВЕРЖДЕНИИ ПОЛОЖЕНИЯ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О ВЕДЕНИИ РЕЕСТРА РАСХОДНЫХ ОБЯЗАТЕЛЬСТВ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МУНИЦИПАЛЬНОГО ОБРАЗОВАНИЯ "</w:t>
      </w:r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СЕМИБУГОРИНСКИЙ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СЕЛЬСОВЕТ"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В соответствии с п. 5 ст. 87 Бюджетного кодекса Российской Федерации, руководствуясь Постановлением Правительства Астраханской области N 43-П от 17.02.2006 и п. 8 ст. 4 раздела 1 Положения о бюджетном процессе в муницип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альном образовании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сельсовет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 Совет решил: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1. Утвердить прилагаемое Положение о ведении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Астраханский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(приложение 1).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2. Настоящее Решение и приложение к нему обнародовать.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4. 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Контроль за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исполнением данного Р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ешения возложить на главного бухгалтера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муницип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Семибугоринскийсельсовет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Кушалакову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А.Х.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.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514501" w:rsidRDefault="006F3779" w:rsidP="00865DAB">
      <w:pPr>
        <w:spacing w:after="0" w:line="240" w:lineRule="auto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514501" w:rsidRDefault="006F3779" w:rsidP="00865DAB">
      <w:pPr>
        <w:spacing w:after="0" w:line="240" w:lineRule="auto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pacing w:after="0" w:line="240" w:lineRule="auto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Председатель Совета МО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/>
          <w:color w:val="474145"/>
          <w:sz w:val="28"/>
          <w:szCs w:val="28"/>
          <w:lang w:eastAsia="ru-RU"/>
        </w:rPr>
        <w:t xml:space="preserve">                    Вон В.М.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514501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6F3779" w:rsidRPr="00865DAB" w:rsidRDefault="006F3779" w:rsidP="00514501">
      <w:pPr>
        <w:shd w:val="clear" w:color="auto" w:fill="FFFFFF"/>
        <w:spacing w:before="75" w:after="75" w:line="240" w:lineRule="auto"/>
        <w:rPr>
          <w:rFonts w:ascii="Times New Roman" w:hAnsi="Times New Roman"/>
          <w:color w:val="47414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Приложение N 1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к Решению Совета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муниципального образования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</w:t>
      </w:r>
    </w:p>
    <w:p w:rsidR="006F3779" w:rsidRPr="00865DAB" w:rsidRDefault="0021244A" w:rsidP="00865DAB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  <w:r>
        <w:rPr>
          <w:rFonts w:ascii="Times New Roman" w:hAnsi="Times New Roman"/>
          <w:color w:val="474145"/>
          <w:sz w:val="28"/>
          <w:szCs w:val="28"/>
          <w:lang w:eastAsia="ru-RU"/>
        </w:rPr>
        <w:t>от 6 сентября  2012</w:t>
      </w:r>
      <w:r w:rsidR="006F3779"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г. N 7/1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514501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</w:pPr>
    </w:p>
    <w:p w:rsidR="006F3779" w:rsidRPr="00514501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</w:pP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ПОЛОЖЕНИЕ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О ВЕДЕНИИ РЕЕСТРА РАСХОДНЫХ ОБЯЗАТЕЛЬСТВ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МУНИЦИПА</w:t>
      </w:r>
      <w:r w:rsidRPr="00514501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ЛЬНОГО ОБРАЗОВАНИЯ "СЕМИБУГОРИНСКИЙ</w:t>
      </w:r>
    </w:p>
    <w:p w:rsidR="006F3779" w:rsidRPr="00865DAB" w:rsidRDefault="006F3779" w:rsidP="0086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СЕЛЬСОВЕТ"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1. Общие положения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1.1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ведется с целью учета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и определения объема средств местного бюджета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необходимых для их исполнения.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Данные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используются для формирования перспективного финансового плана, разработки проекта бюджета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а также при определении в плановом периоде объема бюджета действующих обязательств и бюджета принимаемых обязательств.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1.2. Понятия, используемые в настоящем Положении, означают следующее: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"расходные обязательства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- обусловленные законодательством Российской Федерации, Астраханской области и правовыми актами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договором или соглашением обязанности муниципального образования предоставлять физическим и юридическим лицам, органам государственной власти, органам местного самоуправления средства местного бюджета;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"реестр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 - свод (перечень) нормативных правовых договоров Российской Федерации, Астраханской области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, 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Камызякского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района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 правовых актов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а также заключенных органами местного самоуправления муниципального 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образования 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Камызякского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района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"фрагмент реестра расходных обязатель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ств муниципального образования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- часть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сельсовет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", формируемая главными распорядителями (распорядителями, получателями) средств местного бюджета;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"введение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- определение задач и функций местного значения, требующих осуществления бюджетных расходов, а также определение общих принципов финансового обеспечения и использования расходных обязательств;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"установление расходных обязательств" - определение целей, направлений, объема, структуры, размеров бюджетных расходов, необходимых для выполнения функций и задач местного значения, установление различных нормативов, определение мероприятий, программ и проектов, категорий получателей бюджетных средств, связанных с выполнением органами местного самоуправления муниципального образования соответствующих задач и функций, а также конкретного порядка финансового обеспечения и исполнения установленных расходных обязательств;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"финансовое обеспечение" - определение правовыми актами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Камызякского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района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, договорами или соглашениями органов местного самоуправления объема бюджетных средств, необходимого для исполнения расходных обязательств;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"исполнение" - предоставление (расходование) бюджетных сре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дств гл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авными распорядителями, распорядителями, получателями средств местного бюджета;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"отчетный год" - год, предшествующий текущему году;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"текущий год" - год, в котором осуществляется разработка документов, материалов в соответствии с настоящим примерным порядком;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"очередной год" - год, следующий за текущим годом, на который осуществляется разработка проекта местного бюджета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"плановый период" - очередной и последующие два года.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2. Категории расходных обязательств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2.1.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включает в себя следующие категории расходных обязательств: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- расходные обязательства, введение которых 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осуществляется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органами государственной власти Астраханской области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 органами местного самоуправления МО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район»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, установление, финансовое обеспечение и исполнение - органами местного самоуправления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расходные обязательства, введение, установление и финансовое обеспечение которых осуществляется органами государственной власти Астраханской области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 органами местного самоуправления МО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район»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, а исполнение - органами местного самоуправления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расходные обязательства, по которым все расходные полномочия осуществляются органами местного самоуправления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 органами местного самоуправления МО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район»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, а исполнение - органами местного самоуправления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должен соответствовать реестру расходных обязате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льств МО «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Камызякский</w:t>
      </w:r>
      <w:proofErr w:type="spellEnd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район»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.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3. Структура реестра расходных обязательств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муниципального образования "</w:t>
      </w:r>
      <w:proofErr w:type="spellStart"/>
      <w:r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сельсовет"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3.1. Ведение реестра расходных обязательств, а также ведение фрагментов реестра расходных обязатель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ств гл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авных распорядителей, распорядителей,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получателей средств местного бюджета осуществляется по форме согласно приложению к настоящему Положению (не прилагается).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3.2.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состоит из 29 граф и содержит следующие разделы: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1 - код главного распорядителя, распорядителя, получателя средств местного бюджета.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2 - наименование главного распорядителя, распорядителя, получателя средств местного бюджета.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3 - наименование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подраздела, главы, статьи, подстатьи, пункта, подпункта, абзаца нормативного правового акта Российской Федерации, Астраханской области и правовых актов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договора, соглашения), регламентирующие введение и установление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4 - уровень государственной власти, определяющей введение расходного обязательства. Отмечается следующими кодами: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Ф - введение расходного обязательства осуществляется федеральными органами государственной власти;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О - введение расходного обязательства осуществляется органами государственной власти Астраханской области;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 - введение расходного обязательства осуществляется органами местного самоуправления муниципального образования.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5 - наименование и реквизиты документа, определяющего введение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6 - номер раздела, подраздела, главы, статьи, подстатьи, пункта, подпункта, абзаца документа, определяющего введение расходного обязательства.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7 - уровень государственной власти, определяющей установление расходного обязательства. Отмечается следующими кодами: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Ф - установление расходного обязательства осуществляется федеральными органами государственной власти;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О - установление расходного обязательства осуществляется органами государственной власти Астраханской области;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 - установление расходного обязательства осуществляется органами местного самоуправления муниципального образования.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8 - наименование и реквизиты документа, устанавливающего расходное обязательство.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Графа 9 - номер раздела, подраздела, главы, статьи, подстатьи, пункта, подпункта, абзаца документа, устанавливающего расходное обязательство.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11 - уровень государственной власти, определяющей финансовое обеспечение расходного обязательства. Отмечается следующими кодами: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Ф - финансовое обеспечение расходного обязательства осуществляется федеральными органами государственной власти;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 - финансовое обеспечение расходного обязательства осуществляется органами местного самоуправления муниципального образования.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12 - наименование и реквизиты документа, определяющего финансовое обеспечение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13 - уровень государственной власти, определяющей исполнение расходного обязательства. Отмечается следующим кодом: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 - финансовое обеспечение расходного обязательства осуществляется органами местного самоуправления муниципального образования.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Графа 14 -наименование и реквизиты нормативного правового акта, договора, соглашения, 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определяющих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исполнение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19 - код подстатьи экономической классификации расходов местного бюджета, по которой предусматриваются ассигнования на исполнение расходного обязательства.</w:t>
      </w:r>
      <w:proofErr w:type="gramEnd"/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20 - тип расходного обязательства. Отмечается следующими кодами: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Т - трансферты населению;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И - обязательства, вытекающие из долгосрочных бюджетных целевых программ, а также адресной инвестиционной программы;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Д - погашение и (или) обслуживание государственного долга;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П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- прочие расходные обязательства, не относимые ни к одной из указанных категорий.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21 - объем ассигнований на исполнение расходного обязательства на отчетный год в соответствии с решением муниципального образования о местном бюджете.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22 -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23 - объем ассигнований на исполнение расходного обязательства на текущий год в соответствии с решением муниципального образования о местном бюджете.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24 - расчетный (планируемый, утвержденный) объем ассигнований на исполнение расходного обязательства в очередном году.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25 - прогнозируемый объем ассигнований на исполнение расходного обязательства во втором году планового периода.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26 - прогнозируемый объем ассигнований на исполнение расходного обязательства в третьем году планового периода.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Данные, содержащиеся в графах 24 - 26, 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заносятся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начиная с текущего 2007 года.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27 - метод расчета объема расходного обязательства: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И - метод индексации расходов;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Д - иные методы определения.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28 - нормативный правовой акт, которым утверждена методика расчета планируемого объема расходных обязательств.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Графа 29 - наименование контингента (потребителей) государственных услуг.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4. Ведение реестра расходных обязательств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сельсовет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</w:t>
      </w:r>
    </w:p>
    <w:p w:rsidR="006F3779" w:rsidRPr="00865DAB" w:rsidRDefault="006F3779" w:rsidP="0086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4.1.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ведет финансовый орган администрации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сельсовет". В сфере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реализации полномочий по ведению реестра расходных обязательств финансовый орган местного самоуправления муниципального образования (далее - отдел по исполнению бюджета администрации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сельсовет"):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разрабатывает и издает методические и инструктивные материалы по вопросам ведения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сводит реестры расходных обязатель</w:t>
      </w:r>
      <w:proofErr w:type="gramStart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ств гл</w:t>
      </w:r>
      <w:proofErr w:type="gram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авных распорядителей, распорядителей, получателей средств местного бюджета в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может расширить и (или) детализировать форму для ведения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осуществляет детальную выверку перечня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сельсовет". По итогам проверки отдел по исполнению бюджета администрации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может изменить (дополнить) перечень расходных обязательств отдел по исполнению бюджета администрации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сельсовет", подлежащих отражению в реестре расходных обязательств.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4.2.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ведется в бумажном и электронном виде.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4.3. В сфере реализации полномочий по ведению фрагментов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главные распорядители, распорядители, получатели средств местного бюджета: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ведут фрагмент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 соответствии с требованиями, установленными органом местного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ежегодно предоставляют фрагмент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в отдел по исполнению бюджета администрации муниципального образования "Астраханский сельсовет" в срок не позднее 1 мая текущего года. Фрагмент реестра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предоставляется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- привлекают подведомственных распорядителей, получателей средств местного бюджета в порядке, установленном соответствующим главным распорядителем, распорядителем средств местного бюджета.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lastRenderedPageBreak/>
        <w:t>4.4. В случае возникновения необходимости внесения изменений и дополнений в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сельсовет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 главные распорядители, распорядители, получатели средств местного бюджета представляют в отдел по исполнению бюджета администр</w:t>
      </w:r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 xml:space="preserve">ации муниципального образования </w:t>
      </w: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Срок представления указанной информации со стороны главных распорядителей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4.5. Главные распорядители, распорядители, получатели средств местного бюджета несут ответственность за полноту, своевременность и достоверность представленных сведений, являющихся основанием для включения в реестр расходных обязательств муниципального образования "</w:t>
      </w:r>
      <w:proofErr w:type="spellStart"/>
      <w:r w:rsidRPr="00514501"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и внесения в него изменений или дополнений.</w:t>
      </w:r>
    </w:p>
    <w:p w:rsidR="006F3779" w:rsidRPr="00865DAB" w:rsidRDefault="006F3779" w:rsidP="00865DAB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>Плановый реестр расходных обязательств и уточненный реестр расходных обязательств муниципального образования "</w:t>
      </w:r>
      <w:proofErr w:type="spellStart"/>
      <w:r>
        <w:rPr>
          <w:rFonts w:ascii="Times New Roman" w:hAnsi="Times New Roman"/>
          <w:color w:val="474145"/>
          <w:sz w:val="28"/>
          <w:szCs w:val="28"/>
          <w:lang w:eastAsia="ru-RU"/>
        </w:rPr>
        <w:t>Семибугоринский</w:t>
      </w:r>
      <w:proofErr w:type="spellEnd"/>
      <w:r w:rsidRPr="00865DAB">
        <w:rPr>
          <w:rFonts w:ascii="Times New Roman" w:hAnsi="Times New Roman"/>
          <w:color w:val="474145"/>
          <w:sz w:val="28"/>
          <w:szCs w:val="28"/>
          <w:lang w:eastAsia="ru-RU"/>
        </w:rPr>
        <w:t xml:space="preserve"> сельсовет" (за исключением конфиденциальной информации и информации, отнесенной к государственной тайне) подлежат обнародованию в установленном нормативными правовыми актами порядке.</w:t>
      </w:r>
    </w:p>
    <w:p w:rsidR="006F3779" w:rsidRPr="00514501" w:rsidRDefault="006F3779">
      <w:pPr>
        <w:rPr>
          <w:rFonts w:ascii="Times New Roman" w:hAnsi="Times New Roman"/>
          <w:sz w:val="28"/>
          <w:szCs w:val="28"/>
        </w:rPr>
      </w:pPr>
    </w:p>
    <w:sectPr w:rsidR="006F3779" w:rsidRPr="00514501" w:rsidSect="005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18"/>
    <w:rsid w:val="001F42C5"/>
    <w:rsid w:val="001F6B18"/>
    <w:rsid w:val="0021244A"/>
    <w:rsid w:val="002F7EE2"/>
    <w:rsid w:val="00457DEE"/>
    <w:rsid w:val="00514501"/>
    <w:rsid w:val="005436F9"/>
    <w:rsid w:val="00566625"/>
    <w:rsid w:val="005F3EC9"/>
    <w:rsid w:val="00646A06"/>
    <w:rsid w:val="006F3779"/>
    <w:rsid w:val="00701EEC"/>
    <w:rsid w:val="00821495"/>
    <w:rsid w:val="00865DAB"/>
    <w:rsid w:val="00BB688A"/>
    <w:rsid w:val="00C20041"/>
    <w:rsid w:val="00E13F83"/>
    <w:rsid w:val="00F8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9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Admin</cp:lastModifiedBy>
  <cp:revision>8</cp:revision>
  <cp:lastPrinted>2015-03-17T12:41:00Z</cp:lastPrinted>
  <dcterms:created xsi:type="dcterms:W3CDTF">2013-04-11T16:53:00Z</dcterms:created>
  <dcterms:modified xsi:type="dcterms:W3CDTF">2016-03-29T04:18:00Z</dcterms:modified>
</cp:coreProperties>
</file>