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071FAA" w:rsidRDefault="00071FAA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AC1E2E" w:rsidRDefault="00AC1E2E" w:rsidP="00071FAA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AC1E2E">
        <w:rPr>
          <w:rStyle w:val="a6"/>
          <w:color w:val="000000"/>
          <w:sz w:val="21"/>
          <w:szCs w:val="21"/>
        </w:rPr>
        <w:t>Статья 43. Регулярные платежи за пользование недрами</w:t>
      </w:r>
    </w:p>
    <w:p w:rsidR="00CD1095" w:rsidRDefault="00AC1E2E" w:rsidP="00AC1E2E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AC1E2E">
        <w:rPr>
          <w:color w:val="222222"/>
          <w:sz w:val="26"/>
          <w:szCs w:val="26"/>
          <w:shd w:val="clear" w:color="auto" w:fill="FFFFFF"/>
        </w:rPr>
        <w:t>разведку полезных ископаемых на месторождениях, введенных в промышленную эксплуатацию, в границах горного отвода, предоставленного пользователю недр для добычи этих полезных ископаемых;</w:t>
      </w:r>
    </w:p>
    <w:p w:rsidR="00CD1095" w:rsidRDefault="00AC1E2E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AC1E2E">
        <w:rPr>
          <w:rStyle w:val="a6"/>
          <w:b w:val="0"/>
          <w:color w:val="000000"/>
          <w:sz w:val="26"/>
          <w:szCs w:val="26"/>
        </w:rPr>
        <w:t>разведку полезного ископаемого в границах горного отвода, предоставленного пользователю недр для добычи этого полезного ископаемого;</w:t>
      </w:r>
    </w:p>
    <w:p w:rsidR="00AC1E2E" w:rsidRDefault="00AC1E2E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AC1E2E">
        <w:rPr>
          <w:rStyle w:val="a6"/>
          <w:b w:val="0"/>
          <w:color w:val="000000"/>
          <w:sz w:val="26"/>
          <w:szCs w:val="26"/>
        </w:rPr>
        <w:t xml:space="preserve">пользование недрами для разработки технологий геологического изучения, разведки и добычи </w:t>
      </w:r>
      <w:proofErr w:type="spellStart"/>
      <w:r w:rsidRPr="00AC1E2E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AC1E2E">
        <w:rPr>
          <w:rStyle w:val="a6"/>
          <w:b w:val="0"/>
          <w:color w:val="000000"/>
          <w:sz w:val="26"/>
          <w:szCs w:val="26"/>
        </w:rPr>
        <w:t xml:space="preserve"> полезных ископаемых;</w:t>
      </w:r>
    </w:p>
    <w:p w:rsidR="00AC1E2E" w:rsidRDefault="00AC1E2E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AC1E2E">
        <w:rPr>
          <w:rStyle w:val="a6"/>
          <w:b w:val="0"/>
          <w:color w:val="000000"/>
          <w:sz w:val="26"/>
          <w:szCs w:val="26"/>
        </w:rPr>
        <w:t xml:space="preserve">пользование недрами для разработки технологий геологического изучения, разведки и добычи </w:t>
      </w:r>
      <w:proofErr w:type="spellStart"/>
      <w:r w:rsidRPr="00AC1E2E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AC1E2E">
        <w:rPr>
          <w:rStyle w:val="a6"/>
          <w:b w:val="0"/>
          <w:color w:val="000000"/>
          <w:sz w:val="26"/>
          <w:szCs w:val="26"/>
        </w:rPr>
        <w:t xml:space="preserve"> полезных ископаемых, осуществляемое по совмещенной лицензии при пользовании недрами для разработки технологий геологического изучения, разведки и добычи </w:t>
      </w:r>
      <w:proofErr w:type="spellStart"/>
      <w:r w:rsidRPr="00AC1E2E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AC1E2E">
        <w:rPr>
          <w:rStyle w:val="a6"/>
          <w:b w:val="0"/>
          <w:color w:val="000000"/>
          <w:sz w:val="26"/>
          <w:szCs w:val="26"/>
        </w:rPr>
        <w:t xml:space="preserve"> полезных ископаемых, разведки и добычи таких полезных ископаемых.</w:t>
      </w:r>
    </w:p>
    <w:p w:rsidR="00AC1E2E" w:rsidRDefault="00AC1E2E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AC1E2E">
        <w:rPr>
          <w:rStyle w:val="a6"/>
          <w:b w:val="0"/>
          <w:color w:val="000000"/>
          <w:sz w:val="26"/>
          <w:szCs w:val="26"/>
        </w:rPr>
        <w:t>Размеры регулярных платежей за пользование недрами определяются в зависимости от экономико-географических условий, размера участка недр, вида полезного ископаемого, продолжительности работ, степени геологической изученности территории и степени риска. Порядок определения конкретных размеров ставок регулярных платежей за пользование недрами устанавливается федеральным органом управления государственным фондом недр.</w:t>
      </w:r>
    </w:p>
    <w:p w:rsidR="00AC1E2E" w:rsidRDefault="00AC1E2E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AC1E2E" w:rsidRDefault="00AC1E2E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4C644D" w:rsidRPr="000B0FBC" w:rsidRDefault="006553F5" w:rsidP="00CD1095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CD1095">
        <w:rPr>
          <w:sz w:val="26"/>
          <w:szCs w:val="26"/>
        </w:rPr>
        <w:t xml:space="preserve">       </w:t>
      </w:r>
      <w:r w:rsidR="000B0FBC">
        <w:rPr>
          <w:sz w:val="26"/>
          <w:szCs w:val="26"/>
        </w:rPr>
        <w:t xml:space="preserve">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1FA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93ED2"/>
    <w:rsid w:val="004C644D"/>
    <w:rsid w:val="004F3280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57804"/>
    <w:rsid w:val="009925D2"/>
    <w:rsid w:val="009A10C5"/>
    <w:rsid w:val="009A7C2B"/>
    <w:rsid w:val="009D2973"/>
    <w:rsid w:val="00A956CF"/>
    <w:rsid w:val="00AC1E2E"/>
    <w:rsid w:val="00B57F4C"/>
    <w:rsid w:val="00C353B8"/>
    <w:rsid w:val="00CA0D90"/>
    <w:rsid w:val="00CD1095"/>
    <w:rsid w:val="00CE40AA"/>
    <w:rsid w:val="00CF749C"/>
    <w:rsid w:val="00D00250"/>
    <w:rsid w:val="00D04C99"/>
    <w:rsid w:val="00D22F66"/>
    <w:rsid w:val="00D92B7C"/>
    <w:rsid w:val="00E41CBD"/>
    <w:rsid w:val="00F04F30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1269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2020-12-02T13:32:00Z</dcterms:created>
  <dcterms:modified xsi:type="dcterms:W3CDTF">2021-06-08T06:31:00Z</dcterms:modified>
</cp:coreProperties>
</file>